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6081" w14:textId="6685399C" w:rsidR="00EF2940" w:rsidRPr="00010B9B" w:rsidRDefault="00E9246B">
      <w:pPr>
        <w:pStyle w:val="1"/>
        <w:rPr>
          <w:color w:val="000000" w:themeColor="text1"/>
        </w:rPr>
      </w:pPr>
      <w:r w:rsidRPr="00010B9B">
        <w:rPr>
          <w:color w:val="000000" w:themeColor="text1"/>
        </w:rPr>
        <w:t>東海大學</w:t>
      </w:r>
      <w:r w:rsidR="00EF2940" w:rsidRPr="00010B9B">
        <w:rPr>
          <w:rFonts w:hint="eastAsia"/>
          <w:color w:val="000000" w:themeColor="text1"/>
        </w:rPr>
        <w:t>文學院</w:t>
      </w:r>
      <w:r w:rsidR="00192699">
        <w:rPr>
          <w:rFonts w:hint="eastAsia"/>
          <w:color w:val="000000" w:themeColor="text1"/>
        </w:rPr>
        <w:t>華</w:t>
      </w:r>
      <w:r w:rsidR="00EF2940" w:rsidRPr="00010B9B">
        <w:rPr>
          <w:rFonts w:hint="eastAsia"/>
          <w:color w:val="000000" w:themeColor="text1"/>
        </w:rPr>
        <w:t>語文</w:t>
      </w:r>
      <w:r w:rsidR="00192699">
        <w:rPr>
          <w:rFonts w:hint="eastAsia"/>
          <w:color w:val="000000" w:themeColor="text1"/>
        </w:rPr>
        <w:t>教學國際</w:t>
      </w:r>
      <w:r w:rsidR="00EF2940" w:rsidRPr="00010B9B">
        <w:rPr>
          <w:rFonts w:hint="eastAsia"/>
          <w:color w:val="000000" w:themeColor="text1"/>
        </w:rPr>
        <w:t>碩士</w:t>
      </w:r>
      <w:r w:rsidR="00192699">
        <w:rPr>
          <w:rFonts w:hint="eastAsia"/>
          <w:color w:val="000000" w:themeColor="text1"/>
        </w:rPr>
        <w:t>學位學程</w:t>
      </w:r>
    </w:p>
    <w:p w14:paraId="6F84257A" w14:textId="30C9C951" w:rsidR="00DF58C0" w:rsidRPr="00010B9B" w:rsidRDefault="00E14D4C" w:rsidP="00E14D4C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實務取向論文或</w:t>
      </w:r>
      <w:r w:rsidR="00E9246B" w:rsidRPr="00010B9B">
        <w:rPr>
          <w:color w:val="000000" w:themeColor="text1"/>
        </w:rPr>
        <w:t xml:space="preserve">專業實務報告寫作規範 </w:t>
      </w:r>
    </w:p>
    <w:p w14:paraId="3B9EB9BF" w14:textId="7482EF3F" w:rsidR="00192699" w:rsidRPr="00010B9B" w:rsidRDefault="00E9246B" w:rsidP="00192699">
      <w:pPr>
        <w:spacing w:after="0"/>
        <w:ind w:right="489"/>
        <w:jc w:val="right"/>
        <w:rPr>
          <w:color w:val="000000" w:themeColor="text1"/>
        </w:rPr>
      </w:pPr>
      <w:r w:rsidRPr="00010B9B">
        <w:rPr>
          <w:color w:val="000000" w:themeColor="text1"/>
          <w:sz w:val="16"/>
        </w:rPr>
        <w:t>111年</w:t>
      </w:r>
      <w:r w:rsidR="00192699">
        <w:rPr>
          <w:rFonts w:hint="eastAsia"/>
          <w:color w:val="000000" w:themeColor="text1"/>
          <w:sz w:val="16"/>
        </w:rPr>
        <w:t>12</w:t>
      </w:r>
      <w:r w:rsidRPr="00010B9B">
        <w:rPr>
          <w:color w:val="000000" w:themeColor="text1"/>
          <w:sz w:val="16"/>
        </w:rPr>
        <w:t>月</w:t>
      </w:r>
      <w:r w:rsidR="00192699">
        <w:rPr>
          <w:rFonts w:hint="eastAsia"/>
          <w:color w:val="000000" w:themeColor="text1"/>
          <w:sz w:val="16"/>
        </w:rPr>
        <w:t>16</w:t>
      </w:r>
      <w:r w:rsidRPr="00010B9B">
        <w:rPr>
          <w:color w:val="000000" w:themeColor="text1"/>
          <w:sz w:val="16"/>
        </w:rPr>
        <w:t>日</w:t>
      </w:r>
      <w:r w:rsidR="00192699">
        <w:rPr>
          <w:rFonts w:hint="eastAsia"/>
          <w:color w:val="000000" w:themeColor="text1"/>
          <w:sz w:val="16"/>
        </w:rPr>
        <w:t>學程</w:t>
      </w:r>
      <w:proofErr w:type="gramStart"/>
      <w:r w:rsidR="00192699">
        <w:rPr>
          <w:rFonts w:hint="eastAsia"/>
          <w:color w:val="000000" w:themeColor="text1"/>
          <w:sz w:val="16"/>
        </w:rPr>
        <w:t>務</w:t>
      </w:r>
      <w:proofErr w:type="gramEnd"/>
      <w:r w:rsidRPr="00010B9B">
        <w:rPr>
          <w:color w:val="000000" w:themeColor="text1"/>
          <w:sz w:val="16"/>
        </w:rPr>
        <w:t>會議通過</w:t>
      </w:r>
    </w:p>
    <w:p w14:paraId="74A20D67" w14:textId="53414839" w:rsidR="004644A8" w:rsidRDefault="004644A8" w:rsidP="004644A8">
      <w:pPr>
        <w:spacing w:after="0"/>
        <w:ind w:right="489"/>
        <w:jc w:val="right"/>
        <w:rPr>
          <w:color w:val="000000" w:themeColor="text1"/>
          <w:sz w:val="16"/>
        </w:rPr>
      </w:pPr>
      <w:r w:rsidRPr="00010B9B">
        <w:rPr>
          <w:color w:val="000000" w:themeColor="text1"/>
          <w:sz w:val="16"/>
        </w:rPr>
        <w:t>11</w:t>
      </w:r>
      <w:r>
        <w:rPr>
          <w:rFonts w:hint="eastAsia"/>
          <w:color w:val="000000" w:themeColor="text1"/>
          <w:sz w:val="16"/>
        </w:rPr>
        <w:t>2</w:t>
      </w:r>
      <w:r w:rsidRPr="00010B9B">
        <w:rPr>
          <w:color w:val="000000" w:themeColor="text1"/>
          <w:sz w:val="16"/>
        </w:rPr>
        <w:t>年</w:t>
      </w:r>
      <w:r>
        <w:rPr>
          <w:rFonts w:hint="eastAsia"/>
          <w:color w:val="000000" w:themeColor="text1"/>
          <w:sz w:val="16"/>
        </w:rPr>
        <w:t>1</w:t>
      </w:r>
      <w:r w:rsidRPr="00010B9B">
        <w:rPr>
          <w:color w:val="000000" w:themeColor="text1"/>
          <w:sz w:val="16"/>
        </w:rPr>
        <w:t>月</w:t>
      </w:r>
      <w:r>
        <w:rPr>
          <w:rFonts w:hint="eastAsia"/>
          <w:color w:val="000000" w:themeColor="text1"/>
          <w:sz w:val="16"/>
        </w:rPr>
        <w:t>6</w:t>
      </w:r>
      <w:r w:rsidRPr="00010B9B">
        <w:rPr>
          <w:color w:val="000000" w:themeColor="text1"/>
          <w:sz w:val="16"/>
        </w:rPr>
        <w:t>日</w:t>
      </w:r>
      <w:r w:rsidR="00AB4922">
        <w:rPr>
          <w:rFonts w:hint="eastAsia"/>
          <w:color w:val="000000" w:themeColor="text1"/>
          <w:sz w:val="16"/>
        </w:rPr>
        <w:t>院</w:t>
      </w:r>
      <w:proofErr w:type="gramStart"/>
      <w:r>
        <w:rPr>
          <w:rFonts w:hint="eastAsia"/>
          <w:color w:val="000000" w:themeColor="text1"/>
          <w:sz w:val="16"/>
        </w:rPr>
        <w:t>務</w:t>
      </w:r>
      <w:proofErr w:type="gramEnd"/>
      <w:r w:rsidRPr="00010B9B">
        <w:rPr>
          <w:color w:val="000000" w:themeColor="text1"/>
          <w:sz w:val="16"/>
        </w:rPr>
        <w:t>會議通過</w:t>
      </w:r>
    </w:p>
    <w:p w14:paraId="406D923E" w14:textId="77777777" w:rsidR="00B33BB7" w:rsidRPr="00010B9B" w:rsidRDefault="00B33BB7" w:rsidP="00B33BB7">
      <w:pPr>
        <w:spacing w:after="0"/>
        <w:ind w:right="489"/>
        <w:jc w:val="right"/>
        <w:rPr>
          <w:color w:val="000000" w:themeColor="text1"/>
        </w:rPr>
      </w:pPr>
      <w:r w:rsidRPr="00010B9B">
        <w:rPr>
          <w:color w:val="000000" w:themeColor="text1"/>
          <w:sz w:val="16"/>
        </w:rPr>
        <w:t>11</w:t>
      </w:r>
      <w:r>
        <w:rPr>
          <w:rFonts w:hint="eastAsia"/>
          <w:color w:val="000000" w:themeColor="text1"/>
          <w:sz w:val="16"/>
        </w:rPr>
        <w:t>2</w:t>
      </w:r>
      <w:r w:rsidRPr="00010B9B">
        <w:rPr>
          <w:color w:val="000000" w:themeColor="text1"/>
          <w:sz w:val="16"/>
        </w:rPr>
        <w:t>年</w:t>
      </w:r>
      <w:r>
        <w:rPr>
          <w:rFonts w:hint="eastAsia"/>
          <w:color w:val="000000" w:themeColor="text1"/>
          <w:sz w:val="16"/>
        </w:rPr>
        <w:t>1</w:t>
      </w:r>
      <w:r w:rsidRPr="00010B9B">
        <w:rPr>
          <w:color w:val="000000" w:themeColor="text1"/>
          <w:sz w:val="16"/>
        </w:rPr>
        <w:t>月</w:t>
      </w:r>
      <w:r>
        <w:rPr>
          <w:rFonts w:hint="eastAsia"/>
          <w:color w:val="000000" w:themeColor="text1"/>
          <w:sz w:val="16"/>
        </w:rPr>
        <w:t>6</w:t>
      </w:r>
      <w:r w:rsidRPr="00010B9B">
        <w:rPr>
          <w:color w:val="000000" w:themeColor="text1"/>
          <w:sz w:val="16"/>
        </w:rPr>
        <w:t>日</w:t>
      </w:r>
      <w:r>
        <w:rPr>
          <w:rFonts w:hint="eastAsia"/>
          <w:color w:val="000000" w:themeColor="text1"/>
          <w:sz w:val="16"/>
        </w:rPr>
        <w:t>院</w:t>
      </w:r>
      <w:proofErr w:type="gramStart"/>
      <w:r>
        <w:rPr>
          <w:rFonts w:hint="eastAsia"/>
          <w:color w:val="000000" w:themeColor="text1"/>
          <w:sz w:val="16"/>
        </w:rPr>
        <w:t>務</w:t>
      </w:r>
      <w:proofErr w:type="gramEnd"/>
      <w:r w:rsidRPr="00010B9B">
        <w:rPr>
          <w:color w:val="000000" w:themeColor="text1"/>
          <w:sz w:val="16"/>
        </w:rPr>
        <w:t>會議通過</w:t>
      </w:r>
    </w:p>
    <w:p w14:paraId="46903063" w14:textId="6A0D83E9" w:rsidR="00B33BB7" w:rsidRPr="00010B9B" w:rsidRDefault="00B33BB7" w:rsidP="00B33BB7">
      <w:pPr>
        <w:spacing w:after="0"/>
        <w:ind w:right="489"/>
        <w:jc w:val="right"/>
        <w:rPr>
          <w:color w:val="000000" w:themeColor="text1"/>
        </w:rPr>
      </w:pPr>
      <w:r w:rsidRPr="00010B9B">
        <w:rPr>
          <w:color w:val="000000" w:themeColor="text1"/>
          <w:sz w:val="16"/>
        </w:rPr>
        <w:t>11</w:t>
      </w:r>
      <w:r>
        <w:rPr>
          <w:rFonts w:hint="eastAsia"/>
          <w:color w:val="000000" w:themeColor="text1"/>
          <w:sz w:val="16"/>
        </w:rPr>
        <w:t>2</w:t>
      </w:r>
      <w:r w:rsidRPr="00010B9B">
        <w:rPr>
          <w:color w:val="000000" w:themeColor="text1"/>
          <w:sz w:val="16"/>
        </w:rPr>
        <w:t>年</w:t>
      </w:r>
      <w:r>
        <w:rPr>
          <w:rFonts w:hint="eastAsia"/>
          <w:color w:val="000000" w:themeColor="text1"/>
          <w:sz w:val="16"/>
        </w:rPr>
        <w:t>9</w:t>
      </w:r>
      <w:r w:rsidRPr="00010B9B">
        <w:rPr>
          <w:color w:val="000000" w:themeColor="text1"/>
          <w:sz w:val="16"/>
        </w:rPr>
        <w:t>月</w:t>
      </w:r>
      <w:r>
        <w:rPr>
          <w:rFonts w:hint="eastAsia"/>
          <w:color w:val="000000" w:themeColor="text1"/>
          <w:sz w:val="16"/>
        </w:rPr>
        <w:t>12</w:t>
      </w:r>
      <w:r w:rsidRPr="00010B9B">
        <w:rPr>
          <w:color w:val="000000" w:themeColor="text1"/>
          <w:sz w:val="16"/>
        </w:rPr>
        <w:t>日</w:t>
      </w:r>
      <w:r>
        <w:rPr>
          <w:rFonts w:hint="eastAsia"/>
          <w:color w:val="000000" w:themeColor="text1"/>
          <w:sz w:val="16"/>
        </w:rPr>
        <w:t>教務</w:t>
      </w:r>
      <w:r w:rsidRPr="00010B9B">
        <w:rPr>
          <w:color w:val="000000" w:themeColor="text1"/>
          <w:sz w:val="16"/>
        </w:rPr>
        <w:t>會議通過</w:t>
      </w:r>
    </w:p>
    <w:p w14:paraId="0A7C8F79" w14:textId="6A906487" w:rsidR="00B33BB7" w:rsidRPr="00B33BB7" w:rsidRDefault="00B33BB7" w:rsidP="004644A8">
      <w:pPr>
        <w:spacing w:after="0"/>
        <w:ind w:right="489"/>
        <w:jc w:val="right"/>
        <w:rPr>
          <w:color w:val="000000" w:themeColor="text1"/>
        </w:rPr>
      </w:pPr>
    </w:p>
    <w:p w14:paraId="5348BB1D" w14:textId="20000B76" w:rsidR="00DF58C0" w:rsidRPr="00010B9B" w:rsidRDefault="00DF58C0">
      <w:pPr>
        <w:spacing w:after="0"/>
        <w:ind w:right="489"/>
        <w:jc w:val="right"/>
        <w:rPr>
          <w:color w:val="000000" w:themeColor="text1"/>
        </w:rPr>
      </w:pPr>
    </w:p>
    <w:p w14:paraId="283F2280" w14:textId="77777777" w:rsidR="00DF58C0" w:rsidRPr="00010B9B" w:rsidRDefault="00DF58C0" w:rsidP="00EF2940">
      <w:pPr>
        <w:adjustRightInd w:val="0"/>
        <w:snapToGrid w:val="0"/>
        <w:spacing w:after="0"/>
        <w:ind w:left="0" w:right="504" w:firstLine="0"/>
        <w:jc w:val="right"/>
        <w:rPr>
          <w:color w:val="000000" w:themeColor="text1"/>
        </w:rPr>
      </w:pPr>
    </w:p>
    <w:p w14:paraId="191B4F9C" w14:textId="5E96F754" w:rsidR="00DF58C0" w:rsidRPr="00010B9B" w:rsidRDefault="00E9246B" w:rsidP="00396A91">
      <w:pPr>
        <w:pStyle w:val="a7"/>
        <w:numPr>
          <w:ilvl w:val="0"/>
          <w:numId w:val="2"/>
        </w:numPr>
        <w:adjustRightInd w:val="0"/>
        <w:snapToGrid w:val="0"/>
        <w:spacing w:after="0" w:line="380" w:lineRule="auto"/>
        <w:ind w:leftChars="0"/>
        <w:rPr>
          <w:color w:val="000000" w:themeColor="text1"/>
        </w:rPr>
      </w:pPr>
      <w:r w:rsidRPr="00010B9B">
        <w:rPr>
          <w:color w:val="000000" w:themeColor="text1"/>
        </w:rPr>
        <w:t>依據「</w:t>
      </w:r>
      <w:r w:rsidR="00192699" w:rsidRPr="00192699">
        <w:rPr>
          <w:rFonts w:hint="eastAsia"/>
          <w:color w:val="000000" w:themeColor="text1"/>
        </w:rPr>
        <w:t>東海大學文學院華語文教學國際碩士學位學程修業及考試辦法</w:t>
      </w:r>
      <w:r w:rsidR="007F3DCF" w:rsidRPr="00010B9B">
        <w:rPr>
          <w:color w:val="000000" w:themeColor="text1"/>
        </w:rPr>
        <w:t>」</w:t>
      </w:r>
      <w:r w:rsidRPr="00010B9B">
        <w:rPr>
          <w:color w:val="000000" w:themeColor="text1"/>
        </w:rPr>
        <w:t>，訂定「東海大學</w:t>
      </w:r>
      <w:r w:rsidR="00396A91" w:rsidRPr="00010B9B">
        <w:rPr>
          <w:rFonts w:hint="eastAsia"/>
          <w:color w:val="000000" w:themeColor="text1"/>
        </w:rPr>
        <w:t>文</w:t>
      </w:r>
      <w:r w:rsidRPr="00010B9B">
        <w:rPr>
          <w:color w:val="000000" w:themeColor="text1"/>
        </w:rPr>
        <w:t>學院</w:t>
      </w:r>
      <w:r w:rsidR="00192699">
        <w:rPr>
          <w:rFonts w:hint="eastAsia"/>
          <w:color w:val="000000" w:themeColor="text1"/>
        </w:rPr>
        <w:t>華語文教學國際碩士學位學程</w:t>
      </w:r>
      <w:r w:rsidR="00E14D4C">
        <w:rPr>
          <w:rFonts w:hint="eastAsia"/>
          <w:color w:val="000000" w:themeColor="text1"/>
        </w:rPr>
        <w:t>實務取向論文或</w:t>
      </w:r>
      <w:r w:rsidRPr="00010B9B">
        <w:rPr>
          <w:color w:val="000000" w:themeColor="text1"/>
        </w:rPr>
        <w:t xml:space="preserve">專業實務報告寫作規範」（以下簡稱「本規範」）。  </w:t>
      </w:r>
    </w:p>
    <w:p w14:paraId="47C9D59C" w14:textId="6B842C23" w:rsidR="00DF58C0" w:rsidRPr="00010B9B" w:rsidRDefault="00E14D4C" w:rsidP="00270C1C">
      <w:pPr>
        <w:pStyle w:val="a7"/>
        <w:numPr>
          <w:ilvl w:val="0"/>
          <w:numId w:val="2"/>
        </w:numPr>
        <w:adjustRightInd w:val="0"/>
        <w:snapToGrid w:val="0"/>
        <w:spacing w:after="0" w:line="380" w:lineRule="auto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實務取向論文與</w:t>
      </w:r>
      <w:r w:rsidR="00E9246B" w:rsidRPr="00010B9B">
        <w:rPr>
          <w:color w:val="000000" w:themeColor="text1"/>
        </w:rPr>
        <w:t>專業實務報告主題應以</w:t>
      </w:r>
      <w:r w:rsidR="00206EA7">
        <w:rPr>
          <w:rFonts w:hint="eastAsia"/>
          <w:color w:val="000000" w:themeColor="text1"/>
        </w:rPr>
        <w:t>華語文</w:t>
      </w:r>
      <w:r w:rsidR="00396A91" w:rsidRPr="00010B9B">
        <w:rPr>
          <w:rFonts w:hint="eastAsia"/>
          <w:color w:val="000000" w:themeColor="text1"/>
        </w:rPr>
        <w:t>教學</w:t>
      </w:r>
      <w:r w:rsidR="00E9246B" w:rsidRPr="00010B9B">
        <w:rPr>
          <w:color w:val="000000" w:themeColor="text1"/>
        </w:rPr>
        <w:t>相關領域之實務議題為研究主題，題目及內容應以創新性、問題解決、改進現狀等為主。</w:t>
      </w:r>
      <w:r w:rsidR="00E9246B" w:rsidRPr="00010B9B">
        <w:rPr>
          <w:rFonts w:ascii="細明體" w:eastAsia="細明體" w:hAnsi="細明體" w:cs="細明體"/>
          <w:color w:val="000000" w:themeColor="text1"/>
          <w:sz w:val="24"/>
        </w:rPr>
        <w:t xml:space="preserve"> </w:t>
      </w:r>
    </w:p>
    <w:p w14:paraId="25149585" w14:textId="3666A998" w:rsidR="00DF58C0" w:rsidRPr="00010B9B" w:rsidRDefault="00E9246B" w:rsidP="00270C1C">
      <w:pPr>
        <w:pStyle w:val="a7"/>
        <w:numPr>
          <w:ilvl w:val="0"/>
          <w:numId w:val="2"/>
        </w:numPr>
        <w:adjustRightInd w:val="0"/>
        <w:snapToGrid w:val="0"/>
        <w:spacing w:after="0" w:line="380" w:lineRule="auto"/>
        <w:ind w:leftChars="0"/>
        <w:rPr>
          <w:color w:val="000000" w:themeColor="text1"/>
        </w:rPr>
      </w:pPr>
      <w:r w:rsidRPr="00010B9B">
        <w:rPr>
          <w:color w:val="000000" w:themeColor="text1"/>
        </w:rPr>
        <w:t>凡以</w:t>
      </w:r>
      <w:r w:rsidR="00206EA7">
        <w:rPr>
          <w:rFonts w:hint="eastAsia"/>
          <w:color w:val="000000" w:themeColor="text1"/>
        </w:rPr>
        <w:t>華語文</w:t>
      </w:r>
      <w:r w:rsidR="00396A91" w:rsidRPr="00010B9B">
        <w:rPr>
          <w:rFonts w:hint="eastAsia"/>
          <w:color w:val="000000" w:themeColor="text1"/>
        </w:rPr>
        <w:t>教學</w:t>
      </w:r>
      <w:r w:rsidR="00E14D4C">
        <w:rPr>
          <w:rFonts w:hint="eastAsia"/>
          <w:color w:val="000000" w:themeColor="text1"/>
        </w:rPr>
        <w:t>實務取向論文或</w:t>
      </w:r>
      <w:r w:rsidRPr="00010B9B">
        <w:rPr>
          <w:color w:val="000000" w:themeColor="text1"/>
        </w:rPr>
        <w:t>專業實務報告作為學位論文者，其寫作格式體例及編排項目</w:t>
      </w:r>
      <w:proofErr w:type="gramStart"/>
      <w:r w:rsidRPr="00010B9B">
        <w:rPr>
          <w:color w:val="000000" w:themeColor="text1"/>
        </w:rPr>
        <w:t>等均應符合</w:t>
      </w:r>
      <w:proofErr w:type="gramEnd"/>
      <w:r w:rsidRPr="00010B9B">
        <w:rPr>
          <w:color w:val="000000" w:themeColor="text1"/>
        </w:rPr>
        <w:t>本</w:t>
      </w:r>
      <w:r w:rsidR="00206EA7">
        <w:rPr>
          <w:rFonts w:hint="eastAsia"/>
          <w:color w:val="000000" w:themeColor="text1"/>
        </w:rPr>
        <w:t>學程</w:t>
      </w:r>
      <w:r w:rsidRPr="00010B9B">
        <w:rPr>
          <w:color w:val="000000" w:themeColor="text1"/>
        </w:rPr>
        <w:t>學位論文</w:t>
      </w:r>
      <w:r w:rsidR="00206EA7">
        <w:rPr>
          <w:rFonts w:hint="eastAsia"/>
          <w:color w:val="000000" w:themeColor="text1"/>
        </w:rPr>
        <w:t>寫作規範</w:t>
      </w:r>
      <w:r w:rsidRPr="00010B9B">
        <w:rPr>
          <w:color w:val="000000" w:themeColor="text1"/>
        </w:rPr>
        <w:t xml:space="preserve">之規定。 </w:t>
      </w:r>
      <w:r w:rsidRPr="00010B9B">
        <w:rPr>
          <w:rFonts w:ascii="細明體" w:eastAsia="細明體" w:hAnsi="細明體" w:cs="細明體"/>
          <w:color w:val="000000" w:themeColor="text1"/>
          <w:sz w:val="24"/>
        </w:rPr>
        <w:t xml:space="preserve"> </w:t>
      </w:r>
    </w:p>
    <w:p w14:paraId="21B8CC9C" w14:textId="7200A8BF" w:rsidR="00DF58C0" w:rsidRPr="00010B9B" w:rsidRDefault="00E14D4C" w:rsidP="00270C1C">
      <w:pPr>
        <w:pStyle w:val="a7"/>
        <w:numPr>
          <w:ilvl w:val="0"/>
          <w:numId w:val="2"/>
        </w:numPr>
        <w:adjustRightInd w:val="0"/>
        <w:snapToGrid w:val="0"/>
        <w:spacing w:after="0" w:line="380" w:lineRule="auto"/>
        <w:ind w:leftChars="0"/>
        <w:rPr>
          <w:color w:val="000000" w:themeColor="text1"/>
        </w:rPr>
      </w:pPr>
      <w:r w:rsidRPr="00E14D4C">
        <w:rPr>
          <w:rFonts w:hint="eastAsia"/>
          <w:color w:val="000000" w:themeColor="text1"/>
          <w:sz w:val="24"/>
        </w:rPr>
        <w:t>實務取向論文為製作與撰寫以教學實務為導向的作品及評介，如：影片製作、課程設計、教材教案研發等；專業實務報告為學程相關領域之問題解決、現狀改進，如個案研究、行動研究等。其基準應與該級論文水準相當，並經指導教授同意</w:t>
      </w:r>
      <w:r w:rsidR="004213C6" w:rsidRPr="00010B9B">
        <w:rPr>
          <w:rFonts w:hint="eastAsia"/>
          <w:color w:val="000000" w:themeColor="text1"/>
        </w:rPr>
        <w:t>。</w:t>
      </w:r>
      <w:r w:rsidR="00DB4213">
        <w:rPr>
          <w:rFonts w:hint="eastAsia"/>
          <w:color w:val="000000" w:themeColor="text1"/>
        </w:rPr>
        <w:t>實務取向論文及專業</w:t>
      </w:r>
      <w:r w:rsidR="00E9246B" w:rsidRPr="00010B9B">
        <w:rPr>
          <w:color w:val="000000" w:themeColor="text1"/>
        </w:rPr>
        <w:t xml:space="preserve">實務報告正文部分建議包含以下內容： </w:t>
      </w:r>
    </w:p>
    <w:p w14:paraId="498E467A" w14:textId="428C4B83" w:rsidR="00DF58C0" w:rsidRPr="00010B9B" w:rsidRDefault="00E9246B" w:rsidP="00946F6A">
      <w:pPr>
        <w:numPr>
          <w:ilvl w:val="1"/>
          <w:numId w:val="1"/>
        </w:numPr>
        <w:adjustRightInd w:val="0"/>
        <w:snapToGrid w:val="0"/>
        <w:spacing w:after="0"/>
        <w:ind w:left="1560" w:hanging="709"/>
        <w:rPr>
          <w:color w:val="000000" w:themeColor="text1"/>
        </w:rPr>
      </w:pPr>
      <w:r w:rsidRPr="00010B9B">
        <w:rPr>
          <w:color w:val="000000" w:themeColor="text1"/>
        </w:rPr>
        <w:t>背景描述／</w:t>
      </w:r>
      <w:r w:rsidR="00DB4213">
        <w:rPr>
          <w:rFonts w:hint="eastAsia"/>
          <w:color w:val="000000" w:themeColor="text1"/>
        </w:rPr>
        <w:t>研究動機</w:t>
      </w:r>
      <w:r w:rsidRPr="00010B9B">
        <w:rPr>
          <w:color w:val="000000" w:themeColor="text1"/>
        </w:rPr>
        <w:t>與</w:t>
      </w:r>
      <w:r w:rsidR="00DB4213">
        <w:rPr>
          <w:rFonts w:hint="eastAsia"/>
          <w:color w:val="000000" w:themeColor="text1"/>
        </w:rPr>
        <w:t>架構</w:t>
      </w:r>
      <w:r w:rsidRPr="00010B9B">
        <w:rPr>
          <w:color w:val="000000" w:themeColor="text1"/>
        </w:rPr>
        <w:t xml:space="preserve">； </w:t>
      </w:r>
    </w:p>
    <w:p w14:paraId="72328CEF" w14:textId="7327845C" w:rsidR="00DF58C0" w:rsidRPr="00010B9B" w:rsidRDefault="00E9246B" w:rsidP="00946F6A">
      <w:pPr>
        <w:numPr>
          <w:ilvl w:val="1"/>
          <w:numId w:val="1"/>
        </w:numPr>
        <w:adjustRightInd w:val="0"/>
        <w:snapToGrid w:val="0"/>
        <w:spacing w:after="0"/>
        <w:ind w:left="1560" w:hanging="709"/>
        <w:rPr>
          <w:color w:val="000000" w:themeColor="text1"/>
        </w:rPr>
      </w:pPr>
      <w:r w:rsidRPr="00010B9B">
        <w:rPr>
          <w:color w:val="000000" w:themeColor="text1"/>
        </w:rPr>
        <w:t>學理基礎探究</w:t>
      </w:r>
      <w:r w:rsidR="00DB4213">
        <w:rPr>
          <w:rFonts w:hint="eastAsia"/>
          <w:color w:val="000000" w:themeColor="text1"/>
        </w:rPr>
        <w:t>/文獻探討</w:t>
      </w:r>
      <w:r w:rsidRPr="00010B9B">
        <w:rPr>
          <w:color w:val="000000" w:themeColor="text1"/>
        </w:rPr>
        <w:t>；</w:t>
      </w:r>
      <w:r w:rsidRPr="00010B9B">
        <w:rPr>
          <w:rFonts w:ascii="細明體" w:eastAsia="細明體" w:hAnsi="細明體" w:cs="細明體"/>
          <w:color w:val="000000" w:themeColor="text1"/>
          <w:sz w:val="24"/>
        </w:rPr>
        <w:t xml:space="preserve"> </w:t>
      </w:r>
    </w:p>
    <w:p w14:paraId="1855AC21" w14:textId="54952357" w:rsidR="00DF58C0" w:rsidRPr="00010B9B" w:rsidRDefault="00DB4213" w:rsidP="00946F6A">
      <w:pPr>
        <w:numPr>
          <w:ilvl w:val="1"/>
          <w:numId w:val="1"/>
        </w:numPr>
        <w:adjustRightInd w:val="0"/>
        <w:snapToGrid w:val="0"/>
        <w:spacing w:after="0"/>
        <w:ind w:left="1560" w:hanging="709"/>
        <w:rPr>
          <w:color w:val="000000" w:themeColor="text1"/>
        </w:rPr>
      </w:pPr>
      <w:r>
        <w:rPr>
          <w:rFonts w:hint="eastAsia"/>
          <w:color w:val="000000" w:themeColor="text1"/>
        </w:rPr>
        <w:t>研究方式與過程/</w:t>
      </w:r>
      <w:r w:rsidR="00E9246B" w:rsidRPr="00010B9B">
        <w:rPr>
          <w:color w:val="000000" w:themeColor="text1"/>
        </w:rPr>
        <w:t xml:space="preserve">執行方式與過程； </w:t>
      </w:r>
    </w:p>
    <w:p w14:paraId="29B938D8" w14:textId="77777777" w:rsidR="00DF58C0" w:rsidRPr="00010B9B" w:rsidRDefault="00E9246B" w:rsidP="00946F6A">
      <w:pPr>
        <w:numPr>
          <w:ilvl w:val="1"/>
          <w:numId w:val="1"/>
        </w:numPr>
        <w:adjustRightInd w:val="0"/>
        <w:snapToGrid w:val="0"/>
        <w:spacing w:after="0"/>
        <w:ind w:left="1560" w:hanging="709"/>
        <w:rPr>
          <w:color w:val="000000" w:themeColor="text1"/>
        </w:rPr>
      </w:pPr>
      <w:r w:rsidRPr="00010B9B">
        <w:rPr>
          <w:color w:val="000000" w:themeColor="text1"/>
        </w:rPr>
        <w:t xml:space="preserve">成果評估與效益分析； </w:t>
      </w:r>
    </w:p>
    <w:p w14:paraId="41C67B8E" w14:textId="77777777" w:rsidR="00DF58C0" w:rsidRPr="00010B9B" w:rsidRDefault="00E9246B" w:rsidP="00946F6A">
      <w:pPr>
        <w:numPr>
          <w:ilvl w:val="1"/>
          <w:numId w:val="1"/>
        </w:numPr>
        <w:adjustRightInd w:val="0"/>
        <w:snapToGrid w:val="0"/>
        <w:spacing w:after="0"/>
        <w:ind w:left="1560" w:hanging="709"/>
        <w:rPr>
          <w:color w:val="000000" w:themeColor="text1"/>
        </w:rPr>
      </w:pPr>
      <w:r w:rsidRPr="00010B9B">
        <w:rPr>
          <w:color w:val="000000" w:themeColor="text1"/>
        </w:rPr>
        <w:t xml:space="preserve">結論與建議。 </w:t>
      </w:r>
    </w:p>
    <w:p w14:paraId="767EBC31" w14:textId="77777777" w:rsidR="0021135D" w:rsidRPr="00010B9B" w:rsidRDefault="00E9246B" w:rsidP="00946F6A">
      <w:pPr>
        <w:adjustRightInd w:val="0"/>
        <w:snapToGrid w:val="0"/>
        <w:spacing w:after="0"/>
        <w:ind w:left="1418" w:hanging="567"/>
        <w:rPr>
          <w:color w:val="000000" w:themeColor="text1"/>
        </w:rPr>
      </w:pPr>
      <w:r w:rsidRPr="00010B9B">
        <w:rPr>
          <w:color w:val="000000" w:themeColor="text1"/>
        </w:rPr>
        <w:t>內文請自行依照研究領域之屬性與寫作習慣分章節撰述。</w:t>
      </w:r>
    </w:p>
    <w:p w14:paraId="77069A2F" w14:textId="77777777" w:rsidR="0021135D" w:rsidRPr="00010B9B" w:rsidRDefault="0021135D" w:rsidP="00EF2940">
      <w:pPr>
        <w:adjustRightInd w:val="0"/>
        <w:snapToGrid w:val="0"/>
        <w:spacing w:after="0"/>
        <w:ind w:left="411"/>
        <w:rPr>
          <w:rFonts w:ascii="細明體" w:eastAsia="細明體" w:hAnsi="細明體" w:cs="細明體"/>
          <w:color w:val="000000" w:themeColor="text1"/>
          <w:sz w:val="24"/>
        </w:rPr>
      </w:pPr>
    </w:p>
    <w:p w14:paraId="5355FCFA" w14:textId="16E5F410" w:rsidR="00DF58C0" w:rsidRPr="00010B9B" w:rsidRDefault="00E9246B" w:rsidP="00270C1C">
      <w:pPr>
        <w:pStyle w:val="a7"/>
        <w:numPr>
          <w:ilvl w:val="0"/>
          <w:numId w:val="2"/>
        </w:numPr>
        <w:adjustRightInd w:val="0"/>
        <w:snapToGrid w:val="0"/>
        <w:spacing w:after="0" w:line="380" w:lineRule="auto"/>
        <w:ind w:leftChars="0"/>
        <w:rPr>
          <w:color w:val="000000" w:themeColor="text1"/>
        </w:rPr>
      </w:pPr>
      <w:r w:rsidRPr="00010B9B">
        <w:rPr>
          <w:color w:val="000000" w:themeColor="text1"/>
        </w:rPr>
        <w:t>本</w:t>
      </w:r>
      <w:r w:rsidR="007F3DCF" w:rsidRPr="00010B9B">
        <w:rPr>
          <w:color w:val="000000" w:themeColor="text1"/>
        </w:rPr>
        <w:t>規範</w:t>
      </w:r>
      <w:r w:rsidRPr="00010B9B">
        <w:rPr>
          <w:color w:val="000000" w:themeColor="text1"/>
        </w:rPr>
        <w:t>未盡之</w:t>
      </w:r>
      <w:proofErr w:type="gramStart"/>
      <w:r w:rsidRPr="00010B9B">
        <w:rPr>
          <w:color w:val="000000" w:themeColor="text1"/>
        </w:rPr>
        <w:t>相關敘寫格式</w:t>
      </w:r>
      <w:proofErr w:type="gramEnd"/>
      <w:r w:rsidRPr="00010B9B">
        <w:rPr>
          <w:color w:val="000000" w:themeColor="text1"/>
        </w:rPr>
        <w:t>，悉依本校或本</w:t>
      </w:r>
      <w:r w:rsidR="00090220">
        <w:rPr>
          <w:rFonts w:hint="eastAsia"/>
          <w:color w:val="000000" w:themeColor="text1"/>
        </w:rPr>
        <w:t>學程</w:t>
      </w:r>
      <w:r w:rsidRPr="00010B9B">
        <w:rPr>
          <w:color w:val="000000" w:themeColor="text1"/>
        </w:rPr>
        <w:t>論文</w:t>
      </w:r>
      <w:r w:rsidR="00090220">
        <w:rPr>
          <w:rFonts w:hint="eastAsia"/>
          <w:color w:val="000000" w:themeColor="text1"/>
        </w:rPr>
        <w:t>寫作規範</w:t>
      </w:r>
      <w:r w:rsidRPr="00010B9B">
        <w:rPr>
          <w:color w:val="000000" w:themeColor="text1"/>
        </w:rPr>
        <w:t xml:space="preserve">規定。  </w:t>
      </w:r>
    </w:p>
    <w:p w14:paraId="62380CED" w14:textId="767A09A5" w:rsidR="00DF58C0" w:rsidRPr="00010B9B" w:rsidRDefault="00E9246B" w:rsidP="00096827">
      <w:pPr>
        <w:pStyle w:val="a7"/>
        <w:numPr>
          <w:ilvl w:val="0"/>
          <w:numId w:val="2"/>
        </w:numPr>
        <w:adjustRightInd w:val="0"/>
        <w:snapToGrid w:val="0"/>
        <w:spacing w:after="0" w:line="380" w:lineRule="auto"/>
        <w:ind w:leftChars="0"/>
        <w:rPr>
          <w:color w:val="000000" w:themeColor="text1"/>
        </w:rPr>
      </w:pPr>
      <w:r w:rsidRPr="00010B9B">
        <w:rPr>
          <w:color w:val="000000" w:themeColor="text1"/>
        </w:rPr>
        <w:t>專業實務報告之計畫審查、學位論文考試、繳交、上傳、授權書之簽署，以及其他本規範未盡之事宜，悉依本</w:t>
      </w:r>
      <w:r w:rsidR="00090220">
        <w:rPr>
          <w:rFonts w:hint="eastAsia"/>
          <w:color w:val="000000" w:themeColor="text1"/>
        </w:rPr>
        <w:t>學程</w:t>
      </w:r>
      <w:r w:rsidRPr="00010B9B">
        <w:rPr>
          <w:color w:val="000000" w:themeColor="text1"/>
        </w:rPr>
        <w:t xml:space="preserve">相關規定辦理。  </w:t>
      </w:r>
    </w:p>
    <w:p w14:paraId="1B54CF12" w14:textId="249013EF" w:rsidR="00DF58C0" w:rsidRPr="00010B9B" w:rsidRDefault="00E9246B" w:rsidP="00270C1C">
      <w:pPr>
        <w:pStyle w:val="a7"/>
        <w:numPr>
          <w:ilvl w:val="0"/>
          <w:numId w:val="2"/>
        </w:numPr>
        <w:adjustRightInd w:val="0"/>
        <w:snapToGrid w:val="0"/>
        <w:spacing w:after="0" w:line="380" w:lineRule="auto"/>
        <w:ind w:leftChars="0"/>
        <w:rPr>
          <w:color w:val="000000" w:themeColor="text1"/>
        </w:rPr>
      </w:pPr>
      <w:r w:rsidRPr="00010B9B">
        <w:rPr>
          <w:color w:val="000000" w:themeColor="text1"/>
        </w:rPr>
        <w:t>本規範經</w:t>
      </w:r>
      <w:r w:rsidR="00090220">
        <w:rPr>
          <w:rFonts w:hint="eastAsia"/>
          <w:color w:val="000000" w:themeColor="text1"/>
        </w:rPr>
        <w:t>學程</w:t>
      </w:r>
      <w:proofErr w:type="gramStart"/>
      <w:r w:rsidRPr="00010B9B">
        <w:rPr>
          <w:color w:val="000000" w:themeColor="text1"/>
        </w:rPr>
        <w:t>務</w:t>
      </w:r>
      <w:proofErr w:type="gramEnd"/>
      <w:r w:rsidRPr="00010B9B">
        <w:rPr>
          <w:color w:val="000000" w:themeColor="text1"/>
        </w:rPr>
        <w:t>會議</w:t>
      </w:r>
      <w:r w:rsidR="006C030F" w:rsidRPr="00010B9B">
        <w:rPr>
          <w:rFonts w:hint="eastAsia"/>
          <w:color w:val="000000" w:themeColor="text1"/>
        </w:rPr>
        <w:t>、</w:t>
      </w:r>
      <w:r w:rsidRPr="00010B9B">
        <w:rPr>
          <w:color w:val="000000" w:themeColor="text1"/>
        </w:rPr>
        <w:t xml:space="preserve">院務會議及教務會議通過後實施。 </w:t>
      </w:r>
    </w:p>
    <w:p w14:paraId="738FCF1F" w14:textId="1CF4E614" w:rsidR="00044552" w:rsidRDefault="00044552" w:rsidP="00044552">
      <w:pPr>
        <w:adjustRightInd w:val="0"/>
        <w:snapToGrid w:val="0"/>
        <w:spacing w:after="0" w:line="380" w:lineRule="auto"/>
        <w:rPr>
          <w:color w:val="000000" w:themeColor="text1"/>
        </w:rPr>
      </w:pPr>
    </w:p>
    <w:sectPr w:rsidR="00044552">
      <w:pgSz w:w="11906" w:h="16838"/>
      <w:pgMar w:top="1440" w:right="737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9D7F" w14:textId="77777777" w:rsidR="00F60891" w:rsidRDefault="00F60891" w:rsidP="00EF2940">
      <w:pPr>
        <w:spacing w:after="0" w:line="240" w:lineRule="auto"/>
      </w:pPr>
      <w:r>
        <w:separator/>
      </w:r>
    </w:p>
  </w:endnote>
  <w:endnote w:type="continuationSeparator" w:id="0">
    <w:p w14:paraId="51E6826B" w14:textId="77777777" w:rsidR="00F60891" w:rsidRDefault="00F60891" w:rsidP="00EF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A10C" w14:textId="77777777" w:rsidR="00F60891" w:rsidRDefault="00F60891" w:rsidP="00EF2940">
      <w:pPr>
        <w:spacing w:after="0" w:line="240" w:lineRule="auto"/>
      </w:pPr>
      <w:r>
        <w:separator/>
      </w:r>
    </w:p>
  </w:footnote>
  <w:footnote w:type="continuationSeparator" w:id="0">
    <w:p w14:paraId="63BADB4B" w14:textId="77777777" w:rsidR="00F60891" w:rsidRDefault="00F60891" w:rsidP="00EF2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4E5D"/>
    <w:multiLevelType w:val="hybridMultilevel"/>
    <w:tmpl w:val="66789AE4"/>
    <w:lvl w:ilvl="0" w:tplc="1A16FDE8">
      <w:start w:val="1"/>
      <w:numFmt w:val="taiwaneseCountingThousand"/>
      <w:lvlText w:val="%1、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38C76F3C"/>
    <w:multiLevelType w:val="hybridMultilevel"/>
    <w:tmpl w:val="3412E66A"/>
    <w:lvl w:ilvl="0" w:tplc="0F4E68B6">
      <w:start w:val="2"/>
      <w:numFmt w:val="ideographDigital"/>
      <w:lvlText w:val="%1、"/>
      <w:lvlJc w:val="left"/>
      <w:pPr>
        <w:ind w:left="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02DEEC">
      <w:start w:val="1"/>
      <w:numFmt w:val="ideographDigital"/>
      <w:lvlText w:val="(%2)"/>
      <w:lvlJc w:val="left"/>
      <w:pPr>
        <w:ind w:left="10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FCB6E2">
      <w:start w:val="1"/>
      <w:numFmt w:val="lowerRoman"/>
      <w:lvlText w:val="%3"/>
      <w:lvlJc w:val="left"/>
      <w:pPr>
        <w:ind w:left="14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E0BF9E">
      <w:start w:val="1"/>
      <w:numFmt w:val="decimal"/>
      <w:lvlText w:val="%4"/>
      <w:lvlJc w:val="left"/>
      <w:pPr>
        <w:ind w:left="22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087774">
      <w:start w:val="1"/>
      <w:numFmt w:val="lowerLetter"/>
      <w:lvlText w:val="%5"/>
      <w:lvlJc w:val="left"/>
      <w:pPr>
        <w:ind w:left="29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BC58DA">
      <w:start w:val="1"/>
      <w:numFmt w:val="lowerRoman"/>
      <w:lvlText w:val="%6"/>
      <w:lvlJc w:val="left"/>
      <w:pPr>
        <w:ind w:left="3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685C08">
      <w:start w:val="1"/>
      <w:numFmt w:val="decimal"/>
      <w:lvlText w:val="%7"/>
      <w:lvlJc w:val="left"/>
      <w:pPr>
        <w:ind w:left="43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CAD71E">
      <w:start w:val="1"/>
      <w:numFmt w:val="lowerLetter"/>
      <w:lvlText w:val="%8"/>
      <w:lvlJc w:val="left"/>
      <w:pPr>
        <w:ind w:left="50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909334">
      <w:start w:val="1"/>
      <w:numFmt w:val="lowerRoman"/>
      <w:lvlText w:val="%9"/>
      <w:lvlJc w:val="left"/>
      <w:pPr>
        <w:ind w:left="58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5A2544"/>
    <w:multiLevelType w:val="hybridMultilevel"/>
    <w:tmpl w:val="A73C4C80"/>
    <w:lvl w:ilvl="0" w:tplc="863C24F2">
      <w:start w:val="1"/>
      <w:numFmt w:val="taiwaneseCountingThousand"/>
      <w:lvlText w:val="(%1)"/>
      <w:lvlJc w:val="left"/>
      <w:pPr>
        <w:ind w:left="11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C0"/>
    <w:rsid w:val="00010B9B"/>
    <w:rsid w:val="00035F07"/>
    <w:rsid w:val="00044552"/>
    <w:rsid w:val="00090220"/>
    <w:rsid w:val="00096827"/>
    <w:rsid w:val="00192699"/>
    <w:rsid w:val="001D7D48"/>
    <w:rsid w:val="00206EA7"/>
    <w:rsid w:val="0021135D"/>
    <w:rsid w:val="00270C1C"/>
    <w:rsid w:val="00281076"/>
    <w:rsid w:val="002964B3"/>
    <w:rsid w:val="002C182C"/>
    <w:rsid w:val="00323047"/>
    <w:rsid w:val="00396A91"/>
    <w:rsid w:val="00412711"/>
    <w:rsid w:val="004213C6"/>
    <w:rsid w:val="00461253"/>
    <w:rsid w:val="004644A8"/>
    <w:rsid w:val="005002F3"/>
    <w:rsid w:val="00546EC9"/>
    <w:rsid w:val="00550A47"/>
    <w:rsid w:val="00584C81"/>
    <w:rsid w:val="005944FD"/>
    <w:rsid w:val="005B451D"/>
    <w:rsid w:val="005F71D5"/>
    <w:rsid w:val="006C030F"/>
    <w:rsid w:val="0078679C"/>
    <w:rsid w:val="007F3DCF"/>
    <w:rsid w:val="00814362"/>
    <w:rsid w:val="00946F6A"/>
    <w:rsid w:val="009F6C12"/>
    <w:rsid w:val="00A06F28"/>
    <w:rsid w:val="00AB4922"/>
    <w:rsid w:val="00B33BB7"/>
    <w:rsid w:val="00B649E3"/>
    <w:rsid w:val="00BB2F10"/>
    <w:rsid w:val="00BF78C9"/>
    <w:rsid w:val="00C234D6"/>
    <w:rsid w:val="00C26ADC"/>
    <w:rsid w:val="00C76A90"/>
    <w:rsid w:val="00C857BB"/>
    <w:rsid w:val="00CE14BF"/>
    <w:rsid w:val="00D567DF"/>
    <w:rsid w:val="00D67D59"/>
    <w:rsid w:val="00DB4213"/>
    <w:rsid w:val="00DD318F"/>
    <w:rsid w:val="00DE534E"/>
    <w:rsid w:val="00DF58C0"/>
    <w:rsid w:val="00E14D4C"/>
    <w:rsid w:val="00E87264"/>
    <w:rsid w:val="00E9246B"/>
    <w:rsid w:val="00EB2A0B"/>
    <w:rsid w:val="00ED7269"/>
    <w:rsid w:val="00EF2940"/>
    <w:rsid w:val="00F32F14"/>
    <w:rsid w:val="00F53FA9"/>
    <w:rsid w:val="00F60891"/>
    <w:rsid w:val="00F92975"/>
    <w:rsid w:val="00F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A6DE1"/>
  <w15:docId w15:val="{85E687D6-BFE3-479E-81BC-E8E8C406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33" w:line="259" w:lineRule="auto"/>
      <w:ind w:left="10" w:hanging="10"/>
    </w:pPr>
    <w:rPr>
      <w:rFonts w:ascii="標楷體" w:eastAsia="標楷體" w:hAnsi="標楷體" w:cs="標楷體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508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EF2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940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940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EF294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C26AD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6ADC"/>
  </w:style>
  <w:style w:type="character" w:customStyle="1" w:styleId="aa">
    <w:name w:val="註解文字 字元"/>
    <w:basedOn w:val="a0"/>
    <w:link w:val="a9"/>
    <w:uiPriority w:val="99"/>
    <w:semiHidden/>
    <w:rsid w:val="00C26ADC"/>
    <w:rPr>
      <w:rFonts w:ascii="標楷體" w:eastAsia="標楷體" w:hAnsi="標楷體" w:cs="標楷體"/>
      <w:color w:val="000000"/>
      <w:sz w:val="26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AD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26ADC"/>
    <w:rPr>
      <w:rFonts w:ascii="標楷體" w:eastAsia="標楷體" w:hAnsi="標楷體" w:cs="標楷體"/>
      <w:b/>
      <w:bCs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User</cp:lastModifiedBy>
  <cp:revision>5</cp:revision>
  <cp:lastPrinted>2022-12-13T02:46:00Z</cp:lastPrinted>
  <dcterms:created xsi:type="dcterms:W3CDTF">2023-08-17T06:50:00Z</dcterms:created>
  <dcterms:modified xsi:type="dcterms:W3CDTF">2023-09-13T01:58:00Z</dcterms:modified>
</cp:coreProperties>
</file>